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212EAA" w14:textId="77777777" w:rsidR="00523C57" w:rsidRDefault="00523C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p w14:paraId="4D07E5B5" w14:textId="77777777" w:rsidR="00523C57" w:rsidRDefault="00523C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" w:hanging="4"/>
        <w:jc w:val="center"/>
        <w:rPr>
          <w:rFonts w:ascii="Aptos" w:eastAsia="Aptos" w:hAnsi="Aptos" w:cs="Aptos"/>
          <w:color w:val="000000"/>
          <w:sz w:val="36"/>
          <w:szCs w:val="36"/>
          <w:highlight w:val="yellow"/>
        </w:rPr>
      </w:pPr>
    </w:p>
    <w:p w14:paraId="43042233" w14:textId="77777777" w:rsidR="00523C57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" w:hanging="4"/>
        <w:jc w:val="center"/>
        <w:rPr>
          <w:rFonts w:ascii="Aptos" w:eastAsia="Aptos" w:hAnsi="Aptos" w:cs="Aptos"/>
          <w:color w:val="000000"/>
          <w:sz w:val="36"/>
          <w:szCs w:val="36"/>
        </w:rPr>
      </w:pPr>
      <w:r>
        <w:rPr>
          <w:rFonts w:ascii="Aptos" w:eastAsia="Aptos" w:hAnsi="Aptos" w:cs="Aptos"/>
          <w:b/>
          <w:color w:val="000000"/>
          <w:sz w:val="36"/>
          <w:szCs w:val="36"/>
        </w:rPr>
        <w:t>A8d Modello Allegato alla Relazione del Revisore esterno</w:t>
      </w:r>
    </w:p>
    <w:p w14:paraId="10A0E961" w14:textId="77777777" w:rsidR="00523C57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center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  <w:sz w:val="32"/>
          <w:szCs w:val="32"/>
        </w:rPr>
        <w:t>(Compilare integralmente le 3 sezioni)</w:t>
      </w:r>
    </w:p>
    <w:p w14:paraId="0825E278" w14:textId="77777777" w:rsidR="00523C57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Aptos" w:eastAsia="Aptos" w:hAnsi="Aptos" w:cs="Aptos"/>
          <w:color w:val="000000"/>
          <w:sz w:val="28"/>
          <w:szCs w:val="28"/>
        </w:rPr>
      </w:pPr>
      <w:r>
        <w:rPr>
          <w:rFonts w:ascii="Aptos" w:eastAsia="Aptos" w:hAnsi="Aptos" w:cs="Aptos"/>
          <w:b/>
          <w:color w:val="000000"/>
          <w:sz w:val="28"/>
          <w:szCs w:val="28"/>
        </w:rPr>
        <w:t>Revisore esterno ……………………….......</w:t>
      </w:r>
    </w:p>
    <w:p w14:paraId="306DB9DC" w14:textId="77777777" w:rsidR="00523C57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Aptos" w:eastAsia="Aptos" w:hAnsi="Aptos" w:cs="Aptos"/>
          <w:color w:val="000000"/>
          <w:sz w:val="28"/>
          <w:szCs w:val="28"/>
        </w:rPr>
      </w:pPr>
      <w:r>
        <w:rPr>
          <w:rFonts w:ascii="Aptos" w:eastAsia="Aptos" w:hAnsi="Aptos" w:cs="Aptos"/>
          <w:b/>
          <w:color w:val="000000"/>
          <w:sz w:val="28"/>
          <w:szCs w:val="28"/>
        </w:rPr>
        <w:t>Ente esecutore: ……………………….</w:t>
      </w:r>
    </w:p>
    <w:p w14:paraId="7C800376" w14:textId="77777777" w:rsidR="00523C57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Aptos" w:eastAsia="Aptos" w:hAnsi="Aptos" w:cs="Aptos"/>
          <w:color w:val="000000"/>
          <w:sz w:val="28"/>
          <w:szCs w:val="28"/>
        </w:rPr>
      </w:pPr>
      <w:r>
        <w:rPr>
          <w:rFonts w:ascii="Aptos" w:eastAsia="Aptos" w:hAnsi="Aptos" w:cs="Aptos"/>
          <w:b/>
          <w:color w:val="000000"/>
          <w:sz w:val="28"/>
          <w:szCs w:val="28"/>
        </w:rPr>
        <w:t>Titolo progetto e Codice AID: ……………</w:t>
      </w:r>
    </w:p>
    <w:p w14:paraId="5611BE33" w14:textId="77777777" w:rsidR="00523C57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Aptos" w:eastAsia="Aptos" w:hAnsi="Aptos" w:cs="Aptos"/>
          <w:color w:val="000000"/>
          <w:sz w:val="28"/>
          <w:szCs w:val="28"/>
        </w:rPr>
      </w:pPr>
      <w:r>
        <w:rPr>
          <w:rFonts w:ascii="Aptos" w:eastAsia="Aptos" w:hAnsi="Aptos" w:cs="Aptos"/>
          <w:b/>
          <w:color w:val="000000"/>
          <w:sz w:val="28"/>
          <w:szCs w:val="28"/>
        </w:rPr>
        <w:t>Rapporto intermedio / finale: …………….</w:t>
      </w:r>
    </w:p>
    <w:p w14:paraId="01BA9FF2" w14:textId="77777777" w:rsidR="00523C57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Aptos" w:eastAsia="Aptos" w:hAnsi="Aptos" w:cs="Aptos"/>
          <w:color w:val="000000"/>
          <w:sz w:val="28"/>
          <w:szCs w:val="28"/>
        </w:rPr>
      </w:pPr>
      <w:r>
        <w:rPr>
          <w:rFonts w:ascii="Aptos" w:eastAsia="Aptos" w:hAnsi="Aptos" w:cs="Aptos"/>
          <w:b/>
          <w:color w:val="000000"/>
          <w:sz w:val="28"/>
          <w:szCs w:val="28"/>
        </w:rPr>
        <w:t>Periodo: dal ……………. al ……………….</w:t>
      </w:r>
    </w:p>
    <w:p w14:paraId="6F96AC3A" w14:textId="77777777" w:rsidR="00523C57" w:rsidRDefault="00523C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Aptos" w:eastAsia="Aptos" w:hAnsi="Aptos" w:cs="Aptos"/>
          <w:color w:val="000000"/>
          <w:sz w:val="28"/>
          <w:szCs w:val="28"/>
        </w:rPr>
      </w:pPr>
    </w:p>
    <w:p w14:paraId="025A1873" w14:textId="77777777" w:rsidR="00523C57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Aptos" w:eastAsia="Aptos" w:hAnsi="Aptos" w:cs="Aptos"/>
          <w:color w:val="000000"/>
          <w:sz w:val="28"/>
          <w:szCs w:val="28"/>
        </w:rPr>
      </w:pPr>
      <w:r>
        <w:rPr>
          <w:rFonts w:ascii="Aptos" w:eastAsia="Aptos" w:hAnsi="Aptos" w:cs="Aptos"/>
          <w:b/>
          <w:color w:val="000000"/>
          <w:sz w:val="28"/>
          <w:szCs w:val="28"/>
        </w:rPr>
        <w:t>Sezione 1: Check list per la certificazione della completezza e corrispondenza degli elementi sottoposti a verifica e controllo da parte del Revisore esterno (La Check List deve essere integrata con altri eventuali elementi di controllo richiesti dalla Procedura e dai formati applicabili al Bando / Programma in Gestione diretta)</w:t>
      </w:r>
    </w:p>
    <w:tbl>
      <w:tblPr>
        <w:tblStyle w:val="a"/>
        <w:tblW w:w="1442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06"/>
        <w:gridCol w:w="1842"/>
        <w:gridCol w:w="2977"/>
      </w:tblGrid>
      <w:tr w:rsidR="00523C57" w14:paraId="753734CF" w14:textId="77777777">
        <w:tc>
          <w:tcPr>
            <w:tcW w:w="9606" w:type="dxa"/>
          </w:tcPr>
          <w:p w14:paraId="5568A30E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Il Revisore esterno esamina, verifica, controlla:</w:t>
            </w:r>
          </w:p>
        </w:tc>
        <w:tc>
          <w:tcPr>
            <w:tcW w:w="1842" w:type="dxa"/>
          </w:tcPr>
          <w:p w14:paraId="2A444188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Eseguito /     Non eseguito</w:t>
            </w:r>
          </w:p>
        </w:tc>
        <w:tc>
          <w:tcPr>
            <w:tcW w:w="2977" w:type="dxa"/>
          </w:tcPr>
          <w:p w14:paraId="1792C90A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Note</w:t>
            </w:r>
          </w:p>
        </w:tc>
      </w:tr>
      <w:tr w:rsidR="00523C57" w14:paraId="7464311A" w14:textId="77777777">
        <w:tc>
          <w:tcPr>
            <w:tcW w:w="9606" w:type="dxa"/>
          </w:tcPr>
          <w:p w14:paraId="61F1E188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L’ammissibilità delle spese effettuate ai sensi di quanto previsto dal Manuale di Gestione e Rendicontazione (artt. 3, 4, 5, 6, 7, 10,11, 13)</w:t>
            </w:r>
          </w:p>
        </w:tc>
        <w:tc>
          <w:tcPr>
            <w:tcW w:w="1842" w:type="dxa"/>
          </w:tcPr>
          <w:p w14:paraId="176613D2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42132AF8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690AAF3C" w14:textId="77777777">
        <w:tc>
          <w:tcPr>
            <w:tcW w:w="9606" w:type="dxa"/>
          </w:tcPr>
          <w:p w14:paraId="42BC9773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L’ammissibilità delle spese effettuate ai sensi di quanto previsto dai criteri stabiliti dal Bando (se previsto)</w:t>
            </w:r>
          </w:p>
        </w:tc>
        <w:tc>
          <w:tcPr>
            <w:tcW w:w="1842" w:type="dxa"/>
          </w:tcPr>
          <w:p w14:paraId="580AEAEC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35E338E6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0851DBF1" w14:textId="77777777">
        <w:tc>
          <w:tcPr>
            <w:tcW w:w="9606" w:type="dxa"/>
          </w:tcPr>
          <w:p w14:paraId="59F18F46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 xml:space="preserve">L’ammissibilità delle spese effettuate ai sensi di quanto previsto dal Contratto </w:t>
            </w:r>
          </w:p>
        </w:tc>
        <w:tc>
          <w:tcPr>
            <w:tcW w:w="1842" w:type="dxa"/>
          </w:tcPr>
          <w:p w14:paraId="231261A6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1338E264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0817892E" w14:textId="77777777">
        <w:tc>
          <w:tcPr>
            <w:tcW w:w="9606" w:type="dxa"/>
          </w:tcPr>
          <w:p w14:paraId="476F5636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Piano Finanziario: la corretta applicazione da parte dell’Ente esecutore delle Linee Guida inserite nei fogli del “Piano Finanziario per il Rapporto Intermedio / Finale” e per la “Modifica del Piano Finanziario”</w:t>
            </w:r>
          </w:p>
        </w:tc>
        <w:tc>
          <w:tcPr>
            <w:tcW w:w="1842" w:type="dxa"/>
          </w:tcPr>
          <w:p w14:paraId="154B2F29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005CEDB2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753657D5" w14:textId="77777777">
        <w:tc>
          <w:tcPr>
            <w:tcW w:w="9606" w:type="dxa"/>
          </w:tcPr>
          <w:p w14:paraId="09F65014" w14:textId="155DB02C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lastRenderedPageBreak/>
              <w:t>Piano Finanziario: la corrispondenza per ogni linea di budget tra l’ultimo piano finanziario approvato dall’AICS e il piano finanziario presentato nel rendiconto in oggetto</w:t>
            </w:r>
          </w:p>
        </w:tc>
        <w:tc>
          <w:tcPr>
            <w:tcW w:w="1842" w:type="dxa"/>
          </w:tcPr>
          <w:p w14:paraId="496AD11E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21E54FE2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7978773F" w14:textId="77777777">
        <w:tc>
          <w:tcPr>
            <w:tcW w:w="9606" w:type="dxa"/>
          </w:tcPr>
          <w:p w14:paraId="40D47233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 xml:space="preserve">Piano Finanziario: la corrispondenza nella codificazione delle linee di budget del Piano Finanziario del primo e secondo livello (Rubriche e Categorie) tra l’ultimo budget approvato dall’AICS e il piano finanziario presentato per il rendiconto </w:t>
            </w:r>
          </w:p>
        </w:tc>
        <w:tc>
          <w:tcPr>
            <w:tcW w:w="1842" w:type="dxa"/>
          </w:tcPr>
          <w:p w14:paraId="312DF70E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4B6B9679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22D437B3" w14:textId="77777777">
        <w:tc>
          <w:tcPr>
            <w:tcW w:w="9606" w:type="dxa"/>
          </w:tcPr>
          <w:p w14:paraId="1D839D2E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Piano Finanziario: la corrispondenza e la pertinenza delle linee di budget inserite dall’Ente esecutore al terzo, quarto e quinto livello con la codificazione AICS del primo e secondo livello</w:t>
            </w:r>
          </w:p>
        </w:tc>
        <w:tc>
          <w:tcPr>
            <w:tcW w:w="1842" w:type="dxa"/>
          </w:tcPr>
          <w:p w14:paraId="5D31B9C3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57B055B0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4928F898" w14:textId="77777777">
        <w:tc>
          <w:tcPr>
            <w:tcW w:w="9606" w:type="dxa"/>
          </w:tcPr>
          <w:p w14:paraId="4269A40C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Piano Finanziario: la correttezza e la corrispondenza delle formule e dei totali delle colonne del piano finanziario per le linee di budget al primo e secondo livello</w:t>
            </w:r>
          </w:p>
        </w:tc>
        <w:tc>
          <w:tcPr>
            <w:tcW w:w="1842" w:type="dxa"/>
          </w:tcPr>
          <w:p w14:paraId="69C727EA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185327C2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704901B0" w14:textId="77777777">
        <w:tc>
          <w:tcPr>
            <w:tcW w:w="9606" w:type="dxa"/>
          </w:tcPr>
          <w:p w14:paraId="43D5C51F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Piano Finanziario: l’idonea attribuzione degli importi percentuali dei Risultati e Altre Spese non per Risultati, della correttezza e corrispondenza del totale progressivo dello speso per risultato nel rapporto intermedio / finale rispetto al costo complessivo del Progetto, incluso il cumulativo dello speso per risultato in rapporti intermedi precedenti</w:t>
            </w:r>
          </w:p>
        </w:tc>
        <w:tc>
          <w:tcPr>
            <w:tcW w:w="1842" w:type="dxa"/>
          </w:tcPr>
          <w:p w14:paraId="7AF8114C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19BC850D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6BBE3FC6" w14:textId="77777777">
        <w:tc>
          <w:tcPr>
            <w:tcW w:w="9606" w:type="dxa"/>
          </w:tcPr>
          <w:p w14:paraId="3BD29F18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 xml:space="preserve">Piano Finanziario: la correttezza e corrispondenza delle formule e dei totali della colonna “Totale Speso </w:t>
            </w:r>
            <w:proofErr w:type="gramStart"/>
            <w:r>
              <w:rPr>
                <w:rFonts w:ascii="Aptos" w:eastAsia="Aptos" w:hAnsi="Aptos" w:cs="Aptos"/>
                <w:color w:val="000000"/>
              </w:rPr>
              <w:t>al: ….</w:t>
            </w:r>
            <w:proofErr w:type="gramEnd"/>
            <w:r>
              <w:rPr>
                <w:rFonts w:ascii="Aptos" w:eastAsia="Aptos" w:hAnsi="Aptos" w:cs="Aptos"/>
                <w:color w:val="000000"/>
              </w:rPr>
              <w:t>”</w:t>
            </w:r>
          </w:p>
        </w:tc>
        <w:tc>
          <w:tcPr>
            <w:tcW w:w="1842" w:type="dxa"/>
          </w:tcPr>
          <w:p w14:paraId="1A2E33C3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798483B9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74C90977" w14:textId="77777777">
        <w:tc>
          <w:tcPr>
            <w:tcW w:w="9606" w:type="dxa"/>
          </w:tcPr>
          <w:p w14:paraId="7CA17A99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 xml:space="preserve">Piano Finanziario: la correttezza e corrispondenza delle formule e dei totali della colonna “Piano Finanziario residuo sottoposto ad AICS da spendere </w:t>
            </w:r>
            <w:proofErr w:type="gramStart"/>
            <w:r>
              <w:rPr>
                <w:rFonts w:ascii="Aptos" w:eastAsia="Aptos" w:hAnsi="Aptos" w:cs="Aptos"/>
                <w:color w:val="000000"/>
              </w:rPr>
              <w:t>al: ….</w:t>
            </w:r>
            <w:proofErr w:type="gramEnd"/>
            <w:r>
              <w:rPr>
                <w:rFonts w:ascii="Aptos" w:eastAsia="Aptos" w:hAnsi="Aptos" w:cs="Aptos"/>
                <w:color w:val="000000"/>
              </w:rPr>
              <w:t>.”</w:t>
            </w:r>
          </w:p>
        </w:tc>
        <w:tc>
          <w:tcPr>
            <w:tcW w:w="1842" w:type="dxa"/>
          </w:tcPr>
          <w:p w14:paraId="59E94088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645D9279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4C56C137" w14:textId="77777777">
        <w:tc>
          <w:tcPr>
            <w:tcW w:w="9606" w:type="dxa"/>
          </w:tcPr>
          <w:p w14:paraId="5F7D0E71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Piano Finanziario: la corretta considerazione da parte dell’Ente esecutore di quanto approvato dall’AICS in Rapporti intermedi precedenti in merito alle colonne “Importi considerati non ammissibili e non approvati dall'AICS” e “Piano Finanziario residuo approvato dall’AICS con totale da spendere al:”</w:t>
            </w:r>
          </w:p>
        </w:tc>
        <w:tc>
          <w:tcPr>
            <w:tcW w:w="1842" w:type="dxa"/>
          </w:tcPr>
          <w:p w14:paraId="5B9FFAC3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2363F265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5A2445F8" w14:textId="77777777">
        <w:tc>
          <w:tcPr>
            <w:tcW w:w="9606" w:type="dxa"/>
          </w:tcPr>
          <w:p w14:paraId="373F417C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Piano Finanziario: la correttezza e corrispondenza delle percentuali del totale progressivo dello speso nelle linee “Totale spese in percentuale ripartite per Risultato + Altre spese non per Risultati” e “Costi percentuali per Risultato del Progetto approvate da AICS” poste in calce al Totale Generale del Piano Finanziario</w:t>
            </w:r>
          </w:p>
        </w:tc>
        <w:tc>
          <w:tcPr>
            <w:tcW w:w="1842" w:type="dxa"/>
          </w:tcPr>
          <w:p w14:paraId="10BFF81C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2F9DF748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7BC578C9" w14:textId="77777777">
        <w:tc>
          <w:tcPr>
            <w:tcW w:w="9606" w:type="dxa"/>
          </w:tcPr>
          <w:p w14:paraId="3C9D1981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Piano Finanziario: la correttezza e corrispondenza degli importi e delle percentuali previste dal foglio per la “Modifica del Piano Finanziario”</w:t>
            </w:r>
          </w:p>
        </w:tc>
        <w:tc>
          <w:tcPr>
            <w:tcW w:w="1842" w:type="dxa"/>
          </w:tcPr>
          <w:p w14:paraId="71E83E9B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75B6AADB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68BA86E1" w14:textId="77777777">
        <w:tc>
          <w:tcPr>
            <w:tcW w:w="9606" w:type="dxa"/>
          </w:tcPr>
          <w:p w14:paraId="61B7A024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 xml:space="preserve">Piano Finanziario: in caso di proposta di modifica, la correttezza e corrispondenza delle percentuali nelle linee “Costi percentuali per Risultato del Progetto approvati da AICS”, “Costi percentuali per Risultato spesi nei Rendiconti precedenti”, “Nuova ripartizione </w:t>
            </w:r>
            <w:r>
              <w:rPr>
                <w:rFonts w:ascii="Aptos" w:eastAsia="Aptos" w:hAnsi="Aptos" w:cs="Aptos"/>
                <w:color w:val="000000"/>
              </w:rPr>
              <w:lastRenderedPageBreak/>
              <w:t>percentuale dei costi per Risultato (Rendicontati + previsionali da spendere)” e “Variazione percentuale costi per Risultato tra Piano Finanziario approvato dall'AICS rispetto alle spese sostenute e previsionali” poste in calce al Totale Generale del Piano Finanziario per le modifiche di budget del Progetto</w:t>
            </w:r>
          </w:p>
        </w:tc>
        <w:tc>
          <w:tcPr>
            <w:tcW w:w="1842" w:type="dxa"/>
          </w:tcPr>
          <w:p w14:paraId="5C877F49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552AF72C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  <w:p w14:paraId="6C594326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  <w:p w14:paraId="377205C9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  <w:p w14:paraId="2C54C8F6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  <w:p w14:paraId="4BAE5025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  <w:p w14:paraId="79457FEB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  <w:p w14:paraId="7A494A76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0A1CE26B" w14:textId="77777777">
        <w:tc>
          <w:tcPr>
            <w:tcW w:w="9606" w:type="dxa"/>
          </w:tcPr>
          <w:p w14:paraId="56D542E0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lastRenderedPageBreak/>
              <w:t>Piano Finanziario: la corretta applicazione dei criteri previsti dalle “Modifiche Unilaterali” (art 10.3 del Manuale di Gestione e Rendicontazione)</w:t>
            </w:r>
          </w:p>
        </w:tc>
        <w:tc>
          <w:tcPr>
            <w:tcW w:w="1842" w:type="dxa"/>
          </w:tcPr>
          <w:p w14:paraId="4E735CBF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3AB9EF44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2CBEC92A" w14:textId="77777777">
        <w:tc>
          <w:tcPr>
            <w:tcW w:w="9606" w:type="dxa"/>
          </w:tcPr>
          <w:p w14:paraId="1126C6C4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Piano Finanziario: per le modifiche unilaterali, la corretta applicazione del +/- 15% della somma algebrica delle variazioni dei pesi percentuali di ciascun “Risultato + Altre Spese non per risultati”, rispetto ai valori approvati dall’AICS</w:t>
            </w:r>
          </w:p>
        </w:tc>
        <w:tc>
          <w:tcPr>
            <w:tcW w:w="1842" w:type="dxa"/>
          </w:tcPr>
          <w:p w14:paraId="17A400E8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09C38480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2F08B9B4" w14:textId="77777777">
        <w:tc>
          <w:tcPr>
            <w:tcW w:w="9606" w:type="dxa"/>
          </w:tcPr>
          <w:p w14:paraId="2E381F9C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Piano Finanziario: per le modifiche unilaterali la corretta applicazione del +/- 25% della somma algebrica dell’importo dello speso modificato tra Rubriche della colonna “Costo Totale in €” del Piano Finanziario, rispetto al costo delle Rubriche approvate da AICS (</w:t>
            </w:r>
            <w:proofErr w:type="gramStart"/>
            <w:r>
              <w:rPr>
                <w:rFonts w:ascii="Aptos" w:eastAsia="Aptos" w:hAnsi="Aptos" w:cs="Aptos"/>
                <w:color w:val="000000"/>
              </w:rPr>
              <w:t>1°</w:t>
            </w:r>
            <w:proofErr w:type="gramEnd"/>
            <w:r>
              <w:rPr>
                <w:rFonts w:ascii="Aptos" w:eastAsia="Aptos" w:hAnsi="Aptos" w:cs="Aptos"/>
                <w:color w:val="000000"/>
              </w:rPr>
              <w:t xml:space="preserve"> livello)</w:t>
            </w:r>
          </w:p>
        </w:tc>
        <w:tc>
          <w:tcPr>
            <w:tcW w:w="1842" w:type="dxa"/>
          </w:tcPr>
          <w:p w14:paraId="3A2164DC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2E2726D0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7A7C86F6" w14:textId="77777777">
        <w:tc>
          <w:tcPr>
            <w:tcW w:w="9606" w:type="dxa"/>
          </w:tcPr>
          <w:p w14:paraId="7CC8F472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Piano Finanziario: la corretta applicazione dei criteri previsti dalle “Modifiche da sottoporre ad approvazione da parte dell’AICS” (art. 10.4 del Manuale di Gestione e Rendicontazione)</w:t>
            </w:r>
          </w:p>
        </w:tc>
        <w:tc>
          <w:tcPr>
            <w:tcW w:w="1842" w:type="dxa"/>
          </w:tcPr>
          <w:p w14:paraId="4456B33F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4D275F36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4760AB40" w14:textId="77777777">
        <w:tc>
          <w:tcPr>
            <w:tcW w:w="9606" w:type="dxa"/>
          </w:tcPr>
          <w:p w14:paraId="16527E3C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La corretta applicazione dei criteri previsti dalle “Proroghe Convenzionali” all’art. 10.5 del Manuale di Gestione e Rendicontazione</w:t>
            </w:r>
          </w:p>
        </w:tc>
        <w:tc>
          <w:tcPr>
            <w:tcW w:w="1842" w:type="dxa"/>
          </w:tcPr>
          <w:p w14:paraId="75C188CE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1CAA2BD7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1CF6323A" w14:textId="77777777">
        <w:tc>
          <w:tcPr>
            <w:tcW w:w="9606" w:type="dxa"/>
          </w:tcPr>
          <w:p w14:paraId="62968F6A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 xml:space="preserve">La corretta applicazione delle Condizioni Specifiche applicabili al Progetto (art. 13 del Manuale di Gestione e Rendicontazione) previste dai criteri del Bando e confermate nell’art. 11 del Contratto </w:t>
            </w:r>
          </w:p>
        </w:tc>
        <w:tc>
          <w:tcPr>
            <w:tcW w:w="1842" w:type="dxa"/>
          </w:tcPr>
          <w:p w14:paraId="4508B531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7A1BF0EA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01005444" w14:textId="77777777">
        <w:tc>
          <w:tcPr>
            <w:tcW w:w="9606" w:type="dxa"/>
          </w:tcPr>
          <w:p w14:paraId="2BF1A03B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La correttezza e corrispondenza dei dati inseriti nelle seguenti Sezioni 2 e 3 dell’Allegato alla Relazione del Revisore esterno</w:t>
            </w:r>
          </w:p>
        </w:tc>
        <w:tc>
          <w:tcPr>
            <w:tcW w:w="1842" w:type="dxa"/>
          </w:tcPr>
          <w:p w14:paraId="6F9CC402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6C1872FD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6FD7B279" w14:textId="77777777">
        <w:tc>
          <w:tcPr>
            <w:tcW w:w="9606" w:type="dxa"/>
          </w:tcPr>
          <w:p w14:paraId="04AD6E07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 xml:space="preserve">La corrispondenza del totale dell’apporto dell’Ente esecutore (e/o di altri finanziatori) con quanto riportato nel Contratto </w:t>
            </w:r>
          </w:p>
        </w:tc>
        <w:tc>
          <w:tcPr>
            <w:tcW w:w="1842" w:type="dxa"/>
          </w:tcPr>
          <w:p w14:paraId="0C62B44D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41AB9DF6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791E76CC" w14:textId="77777777">
        <w:tc>
          <w:tcPr>
            <w:tcW w:w="9606" w:type="dxa"/>
          </w:tcPr>
          <w:p w14:paraId="40E6C2A5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La coerenza nel rispetto e nell’applicazione delle Procedure Interne dell’Ente esecutore e delle normative applicabili in Italia e nel Paese di implementazione del Progetto (art. 3, 8, 12, 17 del Manuale di Gestione e Rendicontazione)</w:t>
            </w:r>
          </w:p>
        </w:tc>
        <w:tc>
          <w:tcPr>
            <w:tcW w:w="1842" w:type="dxa"/>
          </w:tcPr>
          <w:p w14:paraId="6FC602FD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1A6D95F4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38674D0E" w14:textId="77777777">
        <w:tc>
          <w:tcPr>
            <w:tcW w:w="9606" w:type="dxa"/>
          </w:tcPr>
          <w:p w14:paraId="20C0630D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La tracciabilità dei flussi finanziari e che le spese siano state effettivamente sostenute e saldate tramite bonifico bancario/carte di credito/etc. (e in contanti limitatamente da quanto previsto dall’art.4 del Manuale di Gestione e Rendicontazione)</w:t>
            </w:r>
          </w:p>
        </w:tc>
        <w:tc>
          <w:tcPr>
            <w:tcW w:w="1842" w:type="dxa"/>
          </w:tcPr>
          <w:p w14:paraId="0FA4B5C7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3CDE54C8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74B7E4C1" w14:textId="77777777">
        <w:tc>
          <w:tcPr>
            <w:tcW w:w="9606" w:type="dxa"/>
          </w:tcPr>
          <w:p w14:paraId="6E03E81A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lastRenderedPageBreak/>
              <w:t>L’Ente esecutore si è attenuto agli obblighi previsti dalla normativa vigente in materia di tracciabilità dei flussi finanziari (art. 2.3 del Manuale di Gestione e Rendicontazione) in merito ad apertura e tenuta dei conti correnti bancari del Progetto</w:t>
            </w:r>
          </w:p>
        </w:tc>
        <w:tc>
          <w:tcPr>
            <w:tcW w:w="1842" w:type="dxa"/>
          </w:tcPr>
          <w:p w14:paraId="26EC1B5E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4AE2AA9B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441DE491" w14:textId="77777777">
        <w:tc>
          <w:tcPr>
            <w:tcW w:w="9606" w:type="dxa"/>
          </w:tcPr>
          <w:p w14:paraId="4DCFC842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 xml:space="preserve">La presenza del codice AID del Progetto sempre nei contratti, nelle fatture, nei documenti contabili e nelle causali dei bonifici bancari, solo per le transazioni riguardanti il contributo AICS </w:t>
            </w:r>
          </w:p>
        </w:tc>
        <w:tc>
          <w:tcPr>
            <w:tcW w:w="1842" w:type="dxa"/>
          </w:tcPr>
          <w:p w14:paraId="37426777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098811C2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34A6E2DC" w14:textId="77777777">
        <w:tc>
          <w:tcPr>
            <w:tcW w:w="9606" w:type="dxa"/>
          </w:tcPr>
          <w:p w14:paraId="49D66525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Le spese rendicontate sono al netto di IVA, in quanto l’Ente esecutore ne risulta esente e/o abbia diritto al suo rimborso.</w:t>
            </w:r>
          </w:p>
          <w:p w14:paraId="40F30772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i/>
                <w:color w:val="000000"/>
              </w:rPr>
              <w:t>In alternativa</w:t>
            </w:r>
            <w:r>
              <w:rPr>
                <w:rFonts w:ascii="Aptos" w:eastAsia="Aptos" w:hAnsi="Aptos" w:cs="Aptos"/>
                <w:color w:val="000000"/>
              </w:rPr>
              <w:t>: l’IVA non è recuperabile ed è inclusa nell’indicazione delle spese sostenute e nei rapporti</w:t>
            </w:r>
          </w:p>
        </w:tc>
        <w:tc>
          <w:tcPr>
            <w:tcW w:w="1842" w:type="dxa"/>
          </w:tcPr>
          <w:p w14:paraId="4671736F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09664D0F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4FA18627" w14:textId="77777777">
        <w:tc>
          <w:tcPr>
            <w:tcW w:w="9606" w:type="dxa"/>
          </w:tcPr>
          <w:p w14:paraId="0159E46C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La presenza di eventuali costi, spese o perdite causate dall’applicazione della modalità di tasso di cambio previste per il Progetto (art. 4 Manuale di Gestione e Rendicontazione)</w:t>
            </w:r>
          </w:p>
        </w:tc>
        <w:tc>
          <w:tcPr>
            <w:tcW w:w="1842" w:type="dxa"/>
          </w:tcPr>
          <w:p w14:paraId="709CB62F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470616B2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19F3FC36" w14:textId="77777777">
        <w:tc>
          <w:tcPr>
            <w:tcW w:w="9606" w:type="dxa"/>
          </w:tcPr>
          <w:p w14:paraId="02A457B2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 xml:space="preserve">Il rispetto dei massimali (in valore assoluto e/o percentuali) previsti da Bando, Contratto, Procedure del Bando </w:t>
            </w:r>
          </w:p>
        </w:tc>
        <w:tc>
          <w:tcPr>
            <w:tcW w:w="1842" w:type="dxa"/>
          </w:tcPr>
          <w:p w14:paraId="75C4ECC0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1EBB7E96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0BC3CEC2" w14:textId="77777777">
        <w:tc>
          <w:tcPr>
            <w:tcW w:w="9606" w:type="dxa"/>
          </w:tcPr>
          <w:p w14:paraId="401F748A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Verifica che quanto previsto per i costi del personale espatriato previsto nel Progetto applichino e non superino gli stipendi, gli importi lordi e i costi normalmente sostenuti dal Soggetto Esecutore, secondo le proprie procedure (art. 3.2. del Manuale di Gestione e Rendicontazione)</w:t>
            </w:r>
          </w:p>
        </w:tc>
        <w:tc>
          <w:tcPr>
            <w:tcW w:w="1842" w:type="dxa"/>
          </w:tcPr>
          <w:p w14:paraId="11C6B292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0EBD35C0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67761106" w14:textId="77777777">
        <w:tc>
          <w:tcPr>
            <w:tcW w:w="9606" w:type="dxa"/>
          </w:tcPr>
          <w:p w14:paraId="71DFB14E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 xml:space="preserve">Controlla e verifica la coerenza delle procedure adottate dall’Ente esecutore con i principi e le procedure di scelta del contraente per beni, servizi, lavori (art. 6 del Manuale di Gestione e Rendicontazione) </w:t>
            </w:r>
          </w:p>
        </w:tc>
        <w:tc>
          <w:tcPr>
            <w:tcW w:w="1842" w:type="dxa"/>
          </w:tcPr>
          <w:p w14:paraId="2DA1EC75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37F9065E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19420A6A" w14:textId="77777777">
        <w:tc>
          <w:tcPr>
            <w:tcW w:w="9606" w:type="dxa"/>
          </w:tcPr>
          <w:p w14:paraId="3777FAF5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La presentazione della rendicontazione contabile-amministrativa del Progetto al Revisore esterno da parte dell’Ente esecutore nei tempi indicati dal Contratto, utilizzando la modulistica prevista dal Contratto, dalla Proposta esecutiva e dagli Allegati obbligatori (art. 8.3 Manuale di Gestione e Rendicontazione)</w:t>
            </w:r>
          </w:p>
        </w:tc>
        <w:tc>
          <w:tcPr>
            <w:tcW w:w="1842" w:type="dxa"/>
          </w:tcPr>
          <w:p w14:paraId="10E35270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7BDE4676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48676DEB" w14:textId="77777777">
        <w:tc>
          <w:tcPr>
            <w:tcW w:w="9606" w:type="dxa"/>
          </w:tcPr>
          <w:p w14:paraId="15964D91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Verifica che quanto approvato da AICS a seguito dei controlli tecnico-economici sui rapporti intermedi precedenti sia integrato e attualizzato nella Proposta esecutiva, nel Piano Finanziario e nella modulistica di progetto per il periodo seguente, in modo che siano di riferimento per il prosieguo del Progetto e per il rapporto successivo</w:t>
            </w:r>
          </w:p>
        </w:tc>
        <w:tc>
          <w:tcPr>
            <w:tcW w:w="1842" w:type="dxa"/>
          </w:tcPr>
          <w:p w14:paraId="422A6AF9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7056AE3E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462C12EE" w14:textId="77777777">
        <w:tc>
          <w:tcPr>
            <w:tcW w:w="9606" w:type="dxa"/>
          </w:tcPr>
          <w:p w14:paraId="42F0B1B4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lastRenderedPageBreak/>
              <w:t>Verifica la completezza documentale, in particolare che vi sia la fonte di verifica degli indicatori di obiettivo e di risultato individuati nella Proposta esecutiva (e QL) e nei suoi allegati</w:t>
            </w:r>
          </w:p>
        </w:tc>
        <w:tc>
          <w:tcPr>
            <w:tcW w:w="1842" w:type="dxa"/>
          </w:tcPr>
          <w:p w14:paraId="26DE1E5C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323F6C57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2F545A26" w14:textId="77777777">
        <w:tc>
          <w:tcPr>
            <w:tcW w:w="9606" w:type="dxa"/>
          </w:tcPr>
          <w:p w14:paraId="23DF1FAF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Il corretto utilizzo dei finanziamenti erogati da AICS in conformità con la legislazione italiana e internazionale applicabile, secondo i termini stabiliti dal Contratto del Progetto</w:t>
            </w:r>
          </w:p>
        </w:tc>
        <w:tc>
          <w:tcPr>
            <w:tcW w:w="1842" w:type="dxa"/>
          </w:tcPr>
          <w:p w14:paraId="41CF53A4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49C896F7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225AD2E2" w14:textId="77777777">
        <w:tc>
          <w:tcPr>
            <w:tcW w:w="9606" w:type="dxa"/>
          </w:tcPr>
          <w:p w14:paraId="5213242B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Controlla e verifica che l’utilizzo e la destinazione dei beni alla fine del Progetto rispondano a quanto richiesto da AICS (art. 7 Manuale di Gestione e Rendicontazione) e che sia presente il verbale di consegna di beni mobili e immobili</w:t>
            </w:r>
          </w:p>
        </w:tc>
        <w:tc>
          <w:tcPr>
            <w:tcW w:w="1842" w:type="dxa"/>
          </w:tcPr>
          <w:p w14:paraId="435F6096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3D09219A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14387D17" w14:textId="77777777">
        <w:tc>
          <w:tcPr>
            <w:tcW w:w="9606" w:type="dxa"/>
          </w:tcPr>
          <w:p w14:paraId="1158FBF3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I documenti giustificativi di spesa siano conformi a quanto previsto dal Manuale di Gestione e Rendicontazione (art. 8.3) e siano conformi a quanto previsto dagli accordi tra Ente esecutore e Revisore.</w:t>
            </w:r>
          </w:p>
        </w:tc>
        <w:tc>
          <w:tcPr>
            <w:tcW w:w="1842" w:type="dxa"/>
          </w:tcPr>
          <w:p w14:paraId="1DC65692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977" w:type="dxa"/>
          </w:tcPr>
          <w:p w14:paraId="5CF3E8D8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</w:p>
        </w:tc>
      </w:tr>
    </w:tbl>
    <w:p w14:paraId="56238DEE" w14:textId="77777777" w:rsidR="00523C57" w:rsidRDefault="00523C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Aptos" w:eastAsia="Aptos" w:hAnsi="Aptos" w:cs="Aptos"/>
          <w:color w:val="000000"/>
          <w:sz w:val="28"/>
          <w:szCs w:val="28"/>
        </w:rPr>
      </w:pPr>
    </w:p>
    <w:p w14:paraId="2D08D49B" w14:textId="77777777" w:rsidR="00523C57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Aptos" w:eastAsia="Aptos" w:hAnsi="Aptos" w:cs="Aptos"/>
          <w:color w:val="000000"/>
          <w:sz w:val="28"/>
          <w:szCs w:val="28"/>
        </w:rPr>
      </w:pPr>
      <w:r>
        <w:rPr>
          <w:rFonts w:ascii="Aptos" w:eastAsia="Aptos" w:hAnsi="Aptos" w:cs="Aptos"/>
          <w:b/>
          <w:color w:val="000000"/>
          <w:sz w:val="28"/>
          <w:szCs w:val="28"/>
        </w:rPr>
        <w:t>Sezione 2: Elenco dei casi di irregolarità e tassi di errore riscontrati dal Revisore Esterno nel corso dell’attività di audit</w:t>
      </w:r>
    </w:p>
    <w:p w14:paraId="46D0FC6D" w14:textId="77777777" w:rsidR="00523C57" w:rsidRDefault="00523C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tbl>
      <w:tblPr>
        <w:tblStyle w:val="a0"/>
        <w:tblW w:w="1455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788"/>
        <w:gridCol w:w="4166"/>
        <w:gridCol w:w="3402"/>
        <w:gridCol w:w="2681"/>
      </w:tblGrid>
      <w:tr w:rsidR="00523C57" w14:paraId="69A06AAD" w14:textId="77777777">
        <w:trPr>
          <w:trHeight w:val="1639"/>
        </w:trPr>
        <w:tc>
          <w:tcPr>
            <w:tcW w:w="2518" w:type="dxa"/>
            <w:shd w:val="clear" w:color="auto" w:fill="DEEAF6"/>
            <w:vAlign w:val="center"/>
          </w:tcPr>
          <w:p w14:paraId="5A70AB53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Descrizione caso</w:t>
            </w:r>
          </w:p>
        </w:tc>
        <w:tc>
          <w:tcPr>
            <w:tcW w:w="1788" w:type="dxa"/>
            <w:shd w:val="clear" w:color="auto" w:fill="DEEAF6"/>
            <w:vAlign w:val="center"/>
          </w:tcPr>
          <w:p w14:paraId="2F69852A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Importo direttamente collegato e rendicontato</w:t>
            </w:r>
          </w:p>
        </w:tc>
        <w:tc>
          <w:tcPr>
            <w:tcW w:w="4166" w:type="dxa"/>
            <w:shd w:val="clear" w:color="auto" w:fill="DEEAF6"/>
            <w:vAlign w:val="center"/>
          </w:tcPr>
          <w:p w14:paraId="7E267951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 xml:space="preserve">Entità e grado di sistematicità dell’inammissibilità rilevata dal Revisore esterno (es. costo inammissibile, costo non supportato da documentazione contabile – amministrativa, presenza di altre spese simili e/o </w:t>
            </w:r>
            <w:proofErr w:type="spellStart"/>
            <w:r>
              <w:rPr>
                <w:rFonts w:ascii="Aptos" w:eastAsia="Aptos" w:hAnsi="Aptos" w:cs="Aptos"/>
                <w:b/>
                <w:color w:val="000000"/>
              </w:rPr>
              <w:t>stesso</w:t>
            </w:r>
            <w:proofErr w:type="spellEnd"/>
            <w:r>
              <w:rPr>
                <w:rFonts w:ascii="Aptos" w:eastAsia="Aptos" w:hAnsi="Aptos" w:cs="Aptos"/>
                <w:b/>
                <w:color w:val="000000"/>
              </w:rPr>
              <w:t xml:space="preserve"> beneficiario, </w:t>
            </w:r>
            <w:proofErr w:type="spellStart"/>
            <w:r>
              <w:rPr>
                <w:rFonts w:ascii="Aptos" w:eastAsia="Aptos" w:hAnsi="Aptos" w:cs="Aptos"/>
                <w:b/>
                <w:color w:val="000000"/>
              </w:rPr>
              <w:t>etc</w:t>
            </w:r>
            <w:proofErr w:type="spellEnd"/>
            <w:r>
              <w:rPr>
                <w:rFonts w:ascii="Aptos" w:eastAsia="Aptos" w:hAnsi="Aptos" w:cs="Aptos"/>
                <w:b/>
                <w:color w:val="000000"/>
              </w:rPr>
              <w:t>)</w:t>
            </w:r>
          </w:p>
        </w:tc>
        <w:tc>
          <w:tcPr>
            <w:tcW w:w="3402" w:type="dxa"/>
            <w:shd w:val="clear" w:color="auto" w:fill="DEEAF6"/>
            <w:vAlign w:val="center"/>
          </w:tcPr>
          <w:p w14:paraId="25090932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Azione correttiva e parere dell’Ente esecutore (se richiesto dallo stesso) in relazione al caso di criticità / inammissibilità riscontrato dal Revisore Esterno</w:t>
            </w:r>
          </w:p>
        </w:tc>
        <w:tc>
          <w:tcPr>
            <w:tcW w:w="2681" w:type="dxa"/>
            <w:shd w:val="clear" w:color="auto" w:fill="DEEAF6"/>
            <w:vAlign w:val="center"/>
          </w:tcPr>
          <w:p w14:paraId="66B284E0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Importo totale avente criticità e/o inammissibilità stimata dal Revisore Esterno all’interno del rendiconto</w:t>
            </w:r>
          </w:p>
        </w:tc>
      </w:tr>
      <w:tr w:rsidR="00523C57" w14:paraId="24D2DC41" w14:textId="77777777">
        <w:trPr>
          <w:trHeight w:val="684"/>
        </w:trPr>
        <w:tc>
          <w:tcPr>
            <w:tcW w:w="2518" w:type="dxa"/>
          </w:tcPr>
          <w:p w14:paraId="4A295EDD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 xml:space="preserve">Caso nr. 1: </w:t>
            </w:r>
          </w:p>
        </w:tc>
        <w:tc>
          <w:tcPr>
            <w:tcW w:w="1788" w:type="dxa"/>
          </w:tcPr>
          <w:p w14:paraId="30293355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  <w:tc>
          <w:tcPr>
            <w:tcW w:w="4166" w:type="dxa"/>
          </w:tcPr>
          <w:p w14:paraId="37A2FEB3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3402" w:type="dxa"/>
          </w:tcPr>
          <w:p w14:paraId="0311E30F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681" w:type="dxa"/>
          </w:tcPr>
          <w:p w14:paraId="60407B9B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</w:tr>
      <w:tr w:rsidR="00523C57" w14:paraId="13F11F47" w14:textId="77777777">
        <w:trPr>
          <w:trHeight w:val="684"/>
        </w:trPr>
        <w:tc>
          <w:tcPr>
            <w:tcW w:w="2518" w:type="dxa"/>
          </w:tcPr>
          <w:p w14:paraId="48586628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Caso nr. 2:</w:t>
            </w:r>
          </w:p>
        </w:tc>
        <w:tc>
          <w:tcPr>
            <w:tcW w:w="1788" w:type="dxa"/>
          </w:tcPr>
          <w:p w14:paraId="0253DD62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  <w:tc>
          <w:tcPr>
            <w:tcW w:w="4166" w:type="dxa"/>
          </w:tcPr>
          <w:p w14:paraId="6660ABB3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3402" w:type="dxa"/>
          </w:tcPr>
          <w:p w14:paraId="25A7ED97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681" w:type="dxa"/>
          </w:tcPr>
          <w:p w14:paraId="36527221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</w:tr>
      <w:tr w:rsidR="00523C57" w14:paraId="49DB9B75" w14:textId="77777777">
        <w:trPr>
          <w:trHeight w:val="684"/>
        </w:trPr>
        <w:tc>
          <w:tcPr>
            <w:tcW w:w="2518" w:type="dxa"/>
          </w:tcPr>
          <w:p w14:paraId="24499E9E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lastRenderedPageBreak/>
              <w:t>Caso nr. 3:</w:t>
            </w:r>
          </w:p>
        </w:tc>
        <w:tc>
          <w:tcPr>
            <w:tcW w:w="1788" w:type="dxa"/>
          </w:tcPr>
          <w:p w14:paraId="3756D33D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  <w:tc>
          <w:tcPr>
            <w:tcW w:w="4166" w:type="dxa"/>
          </w:tcPr>
          <w:p w14:paraId="18F29BB6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3402" w:type="dxa"/>
          </w:tcPr>
          <w:p w14:paraId="2E4C52B6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681" w:type="dxa"/>
          </w:tcPr>
          <w:p w14:paraId="410DCF6F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</w:tr>
      <w:tr w:rsidR="00523C57" w14:paraId="6719DACC" w14:textId="77777777">
        <w:trPr>
          <w:trHeight w:val="684"/>
        </w:trPr>
        <w:tc>
          <w:tcPr>
            <w:tcW w:w="2518" w:type="dxa"/>
          </w:tcPr>
          <w:p w14:paraId="08E7B1F2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 xml:space="preserve">Caso nr. (..): </w:t>
            </w:r>
          </w:p>
        </w:tc>
        <w:tc>
          <w:tcPr>
            <w:tcW w:w="1788" w:type="dxa"/>
          </w:tcPr>
          <w:p w14:paraId="3BA24D9B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  <w:tc>
          <w:tcPr>
            <w:tcW w:w="4166" w:type="dxa"/>
          </w:tcPr>
          <w:p w14:paraId="5C881217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3402" w:type="dxa"/>
          </w:tcPr>
          <w:p w14:paraId="6B2AF3F0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681" w:type="dxa"/>
          </w:tcPr>
          <w:p w14:paraId="69DD3A7E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</w:tr>
      <w:tr w:rsidR="00523C57" w14:paraId="413CC7EA" w14:textId="77777777">
        <w:trPr>
          <w:trHeight w:val="684"/>
        </w:trPr>
        <w:tc>
          <w:tcPr>
            <w:tcW w:w="2518" w:type="dxa"/>
          </w:tcPr>
          <w:p w14:paraId="65EBBAF2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Caso nr. (..):</w:t>
            </w:r>
          </w:p>
        </w:tc>
        <w:tc>
          <w:tcPr>
            <w:tcW w:w="1788" w:type="dxa"/>
          </w:tcPr>
          <w:p w14:paraId="1F6FB2E7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  <w:tc>
          <w:tcPr>
            <w:tcW w:w="4166" w:type="dxa"/>
          </w:tcPr>
          <w:p w14:paraId="1B2F0B5B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3402" w:type="dxa"/>
          </w:tcPr>
          <w:p w14:paraId="76D367D0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681" w:type="dxa"/>
          </w:tcPr>
          <w:p w14:paraId="27429AE3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</w:tr>
      <w:tr w:rsidR="00523C57" w14:paraId="7B74AEB6" w14:textId="77777777">
        <w:trPr>
          <w:trHeight w:val="684"/>
        </w:trPr>
        <w:tc>
          <w:tcPr>
            <w:tcW w:w="2518" w:type="dxa"/>
          </w:tcPr>
          <w:p w14:paraId="53CE207E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Caso nr. (..):</w:t>
            </w:r>
          </w:p>
        </w:tc>
        <w:tc>
          <w:tcPr>
            <w:tcW w:w="1788" w:type="dxa"/>
          </w:tcPr>
          <w:p w14:paraId="25C15C5D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  <w:tc>
          <w:tcPr>
            <w:tcW w:w="4166" w:type="dxa"/>
          </w:tcPr>
          <w:p w14:paraId="0601266B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3402" w:type="dxa"/>
          </w:tcPr>
          <w:p w14:paraId="752B870C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681" w:type="dxa"/>
          </w:tcPr>
          <w:p w14:paraId="21E8CFB2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</w:tr>
      <w:tr w:rsidR="00523C57" w14:paraId="0E8C8E58" w14:textId="77777777">
        <w:trPr>
          <w:trHeight w:val="684"/>
        </w:trPr>
        <w:tc>
          <w:tcPr>
            <w:tcW w:w="2518" w:type="dxa"/>
          </w:tcPr>
          <w:p w14:paraId="465F6E28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Caso nr. (..):</w:t>
            </w:r>
          </w:p>
        </w:tc>
        <w:tc>
          <w:tcPr>
            <w:tcW w:w="1788" w:type="dxa"/>
          </w:tcPr>
          <w:p w14:paraId="5611E00D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  <w:tc>
          <w:tcPr>
            <w:tcW w:w="4166" w:type="dxa"/>
          </w:tcPr>
          <w:p w14:paraId="06CD45AB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3402" w:type="dxa"/>
          </w:tcPr>
          <w:p w14:paraId="0BF656AA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681" w:type="dxa"/>
          </w:tcPr>
          <w:p w14:paraId="04676B50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</w:tr>
      <w:tr w:rsidR="00523C57" w14:paraId="259335B7" w14:textId="77777777">
        <w:trPr>
          <w:trHeight w:val="684"/>
        </w:trPr>
        <w:tc>
          <w:tcPr>
            <w:tcW w:w="2518" w:type="dxa"/>
          </w:tcPr>
          <w:p w14:paraId="413D74E0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Caso nr. (..):</w:t>
            </w:r>
          </w:p>
        </w:tc>
        <w:tc>
          <w:tcPr>
            <w:tcW w:w="1788" w:type="dxa"/>
          </w:tcPr>
          <w:p w14:paraId="6DB983F9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  <w:tc>
          <w:tcPr>
            <w:tcW w:w="4166" w:type="dxa"/>
          </w:tcPr>
          <w:p w14:paraId="0108D60E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3402" w:type="dxa"/>
          </w:tcPr>
          <w:p w14:paraId="4B088E75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681" w:type="dxa"/>
          </w:tcPr>
          <w:p w14:paraId="224E0143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</w:tr>
      <w:tr w:rsidR="00523C57" w14:paraId="71A8EE1A" w14:textId="77777777">
        <w:trPr>
          <w:trHeight w:val="684"/>
        </w:trPr>
        <w:tc>
          <w:tcPr>
            <w:tcW w:w="2518" w:type="dxa"/>
          </w:tcPr>
          <w:p w14:paraId="1B80872C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Caso nr. (..):</w:t>
            </w:r>
          </w:p>
        </w:tc>
        <w:tc>
          <w:tcPr>
            <w:tcW w:w="1788" w:type="dxa"/>
          </w:tcPr>
          <w:p w14:paraId="2CCE66B9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  <w:tc>
          <w:tcPr>
            <w:tcW w:w="4166" w:type="dxa"/>
          </w:tcPr>
          <w:p w14:paraId="0547827B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3402" w:type="dxa"/>
          </w:tcPr>
          <w:p w14:paraId="23654FCC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681" w:type="dxa"/>
          </w:tcPr>
          <w:p w14:paraId="00B317E9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</w:tr>
      <w:tr w:rsidR="00523C57" w14:paraId="78E535CC" w14:textId="77777777">
        <w:trPr>
          <w:trHeight w:val="684"/>
        </w:trPr>
        <w:tc>
          <w:tcPr>
            <w:tcW w:w="2518" w:type="dxa"/>
          </w:tcPr>
          <w:p w14:paraId="78C35EF1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Caso nr. (..):</w:t>
            </w:r>
          </w:p>
        </w:tc>
        <w:tc>
          <w:tcPr>
            <w:tcW w:w="1788" w:type="dxa"/>
          </w:tcPr>
          <w:p w14:paraId="7A1E46E6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  <w:tc>
          <w:tcPr>
            <w:tcW w:w="4166" w:type="dxa"/>
          </w:tcPr>
          <w:p w14:paraId="7692CF6D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3402" w:type="dxa"/>
          </w:tcPr>
          <w:p w14:paraId="792C7BC2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681" w:type="dxa"/>
          </w:tcPr>
          <w:p w14:paraId="3A94C8B9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</w:tr>
      <w:tr w:rsidR="00523C57" w14:paraId="4FBF019B" w14:textId="77777777">
        <w:trPr>
          <w:trHeight w:val="684"/>
        </w:trPr>
        <w:tc>
          <w:tcPr>
            <w:tcW w:w="2518" w:type="dxa"/>
            <w:shd w:val="clear" w:color="auto" w:fill="auto"/>
          </w:tcPr>
          <w:p w14:paraId="0C4DD616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Importo totale avente criticità e/o inammissibilità rilevata dal Revisore Esterno</w:t>
            </w:r>
          </w:p>
        </w:tc>
        <w:tc>
          <w:tcPr>
            <w:tcW w:w="1788" w:type="dxa"/>
            <w:shd w:val="clear" w:color="auto" w:fill="DEEAF6"/>
          </w:tcPr>
          <w:p w14:paraId="211AD0F4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4166" w:type="dxa"/>
            <w:shd w:val="clear" w:color="auto" w:fill="DEEAF6"/>
          </w:tcPr>
          <w:p w14:paraId="1CCED4A5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3402" w:type="dxa"/>
            <w:shd w:val="clear" w:color="auto" w:fill="DEEAF6"/>
          </w:tcPr>
          <w:p w14:paraId="45C073AA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681" w:type="dxa"/>
          </w:tcPr>
          <w:p w14:paraId="032223AB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</w:tr>
      <w:tr w:rsidR="00523C57" w14:paraId="5CBC94EF" w14:textId="77777777">
        <w:trPr>
          <w:trHeight w:val="684"/>
        </w:trPr>
        <w:tc>
          <w:tcPr>
            <w:tcW w:w="2518" w:type="dxa"/>
            <w:shd w:val="clear" w:color="auto" w:fill="auto"/>
          </w:tcPr>
          <w:p w14:paraId="6DAD70C6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Importo totale rendicontato nel rapporto intermedio / finale</w:t>
            </w:r>
          </w:p>
        </w:tc>
        <w:tc>
          <w:tcPr>
            <w:tcW w:w="1788" w:type="dxa"/>
            <w:shd w:val="clear" w:color="auto" w:fill="DEEAF6"/>
          </w:tcPr>
          <w:p w14:paraId="31CC4821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4166" w:type="dxa"/>
            <w:shd w:val="clear" w:color="auto" w:fill="DEEAF6"/>
          </w:tcPr>
          <w:p w14:paraId="04F7D88F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3402" w:type="dxa"/>
            <w:shd w:val="clear" w:color="auto" w:fill="DEEAF6"/>
          </w:tcPr>
          <w:p w14:paraId="333B8CC3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681" w:type="dxa"/>
          </w:tcPr>
          <w:p w14:paraId="0E93F221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</w:tr>
      <w:tr w:rsidR="00523C57" w14:paraId="648B8624" w14:textId="77777777">
        <w:trPr>
          <w:trHeight w:val="684"/>
        </w:trPr>
        <w:tc>
          <w:tcPr>
            <w:tcW w:w="2518" w:type="dxa"/>
            <w:shd w:val="clear" w:color="auto" w:fill="auto"/>
          </w:tcPr>
          <w:p w14:paraId="49AA7076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 xml:space="preserve">Importo totale ammissibile </w:t>
            </w:r>
            <w:r>
              <w:rPr>
                <w:rFonts w:ascii="Aptos" w:eastAsia="Aptos" w:hAnsi="Aptos" w:cs="Aptos"/>
                <w:b/>
                <w:color w:val="000000"/>
              </w:rPr>
              <w:lastRenderedPageBreak/>
              <w:t>proposto dal Revisore Esterno</w:t>
            </w:r>
          </w:p>
        </w:tc>
        <w:tc>
          <w:tcPr>
            <w:tcW w:w="1788" w:type="dxa"/>
            <w:shd w:val="clear" w:color="auto" w:fill="DEEAF6"/>
          </w:tcPr>
          <w:p w14:paraId="2AA93E54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4166" w:type="dxa"/>
            <w:shd w:val="clear" w:color="auto" w:fill="DEEAF6"/>
          </w:tcPr>
          <w:p w14:paraId="39C8DFBA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3402" w:type="dxa"/>
            <w:shd w:val="clear" w:color="auto" w:fill="DEEAF6"/>
          </w:tcPr>
          <w:p w14:paraId="6A3BB9C9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681" w:type="dxa"/>
          </w:tcPr>
          <w:p w14:paraId="10533E59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€</w:t>
            </w:r>
          </w:p>
        </w:tc>
      </w:tr>
    </w:tbl>
    <w:p w14:paraId="57A5FA8E" w14:textId="77777777" w:rsidR="00523C57" w:rsidRDefault="00523C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p w14:paraId="1589ED82" w14:textId="77777777" w:rsidR="00523C57" w:rsidRDefault="00523C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p w14:paraId="6769587C" w14:textId="77777777" w:rsidR="00523C57" w:rsidRDefault="00523C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p w14:paraId="4F747918" w14:textId="77777777" w:rsidR="00523C57" w:rsidRDefault="00523C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p w14:paraId="425664B6" w14:textId="77777777" w:rsidR="00523C57" w:rsidRDefault="00523C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p w14:paraId="07626F8A" w14:textId="77777777" w:rsidR="00523C57" w:rsidRDefault="00523C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p w14:paraId="665DB74E" w14:textId="77777777" w:rsidR="00523C57" w:rsidRDefault="00523C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p w14:paraId="344E11B0" w14:textId="77777777" w:rsidR="00523C57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Aptos" w:eastAsia="Aptos" w:hAnsi="Aptos" w:cs="Aptos"/>
          <w:color w:val="000000"/>
          <w:sz w:val="28"/>
          <w:szCs w:val="28"/>
        </w:rPr>
      </w:pPr>
      <w:r>
        <w:rPr>
          <w:rFonts w:ascii="Aptos" w:eastAsia="Aptos" w:hAnsi="Aptos" w:cs="Aptos"/>
          <w:b/>
          <w:color w:val="000000"/>
          <w:sz w:val="28"/>
          <w:szCs w:val="28"/>
        </w:rPr>
        <w:t>Sezione 3: Tabella di riconciliazione dei saldi del Progetto in ragione dei rapporti intermedi e del rapporto finale</w:t>
      </w:r>
    </w:p>
    <w:p w14:paraId="32096B6C" w14:textId="77777777" w:rsidR="00523C57" w:rsidRDefault="00523C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p w14:paraId="2E6AE9F3" w14:textId="77777777" w:rsidR="00523C57" w:rsidRDefault="00523C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tbl>
      <w:tblPr>
        <w:tblStyle w:val="a1"/>
        <w:tblW w:w="11658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664"/>
        <w:gridCol w:w="1497"/>
        <w:gridCol w:w="1555"/>
        <w:gridCol w:w="911"/>
        <w:gridCol w:w="1174"/>
        <w:gridCol w:w="1485"/>
        <w:gridCol w:w="1689"/>
        <w:gridCol w:w="1683"/>
      </w:tblGrid>
      <w:tr w:rsidR="00523C57" w14:paraId="0A100289" w14:textId="77777777">
        <w:trPr>
          <w:trHeight w:val="2796"/>
          <w:jc w:val="center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DCF57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 Sintesi dei costi a carico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8220E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Costo totale contributo AICS</w:t>
            </w:r>
          </w:p>
          <w:p w14:paraId="41AF710A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07383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  <w:highlight w:val="yellow"/>
              </w:rPr>
            </w:pPr>
          </w:p>
          <w:p w14:paraId="7AAC2B1F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  <w:p w14:paraId="39FF4FDB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  <w:p w14:paraId="12A75E40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  <w:highlight w:val="yellow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Costo totale rendicontato</w:t>
            </w:r>
          </w:p>
        </w:tc>
        <w:tc>
          <w:tcPr>
            <w:tcW w:w="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9D780FC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  <w:p w14:paraId="1B7C252E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  <w:p w14:paraId="04AB2331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 xml:space="preserve">Totale Budget speso al: </w:t>
            </w:r>
          </w:p>
        </w:tc>
        <w:tc>
          <w:tcPr>
            <w:tcW w:w="11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471BB3C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  <w:p w14:paraId="0A28BBA0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  <w:p w14:paraId="57B29FE5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 xml:space="preserve">Totale budget da spendere al: </w:t>
            </w:r>
          </w:p>
        </w:tc>
        <w:tc>
          <w:tcPr>
            <w:tcW w:w="14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AD0BEC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Totale Budget considerato ammissibile al Rapporto Intermedio / Finale</w:t>
            </w:r>
          </w:p>
        </w:tc>
        <w:tc>
          <w:tcPr>
            <w:tcW w:w="16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BAF66FA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Totale Budget Proposto come inammissibile dal Revisore Esterno</w:t>
            </w:r>
          </w:p>
        </w:tc>
        <w:tc>
          <w:tcPr>
            <w:tcW w:w="16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30E639A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Note e riconciliazioni con importi considerati in precedenza non ammissibili da atti e decisioni dell’Aics</w:t>
            </w:r>
          </w:p>
        </w:tc>
      </w:tr>
      <w:tr w:rsidR="00523C57" w14:paraId="4FFA5B6E" w14:textId="77777777">
        <w:trPr>
          <w:trHeight w:val="290"/>
          <w:jc w:val="center"/>
        </w:trPr>
        <w:tc>
          <w:tcPr>
            <w:tcW w:w="1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DF15A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Totale costi diretti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60CA49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D1C07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68F349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4A20F2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DEAD31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A7235F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049CA5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1C97F4C3" w14:textId="77777777">
        <w:trPr>
          <w:trHeight w:val="290"/>
          <w:jc w:val="center"/>
        </w:trPr>
        <w:tc>
          <w:tcPr>
            <w:tcW w:w="1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25D9B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Costi Indiretti max 7 %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1DEA8F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C5554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224823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3651A4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E6BBC6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BE6170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ACDC9A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</w:tc>
      </w:tr>
      <w:tr w:rsidR="00523C57" w14:paraId="2E0D8EF8" w14:textId="77777777">
        <w:trPr>
          <w:trHeight w:val="290"/>
          <w:jc w:val="center"/>
        </w:trPr>
        <w:tc>
          <w:tcPr>
            <w:tcW w:w="1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59723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lastRenderedPageBreak/>
              <w:t>TOTALE GENERALE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D3D954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54D86" w14:textId="77777777" w:rsidR="00523C5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BBD7A2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4C4668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35D47B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253E36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D07B0D" w14:textId="77777777" w:rsidR="00523C57" w:rsidRDefault="00523C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</w:p>
        </w:tc>
      </w:tr>
    </w:tbl>
    <w:p w14:paraId="5932937D" w14:textId="77777777" w:rsidR="00523C57" w:rsidRDefault="00523C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p w14:paraId="0451029F" w14:textId="77777777" w:rsidR="00523C57" w:rsidRDefault="00523C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p w14:paraId="32DE49EE" w14:textId="77777777" w:rsidR="00523C57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Data ……………….</w:t>
      </w:r>
    </w:p>
    <w:p w14:paraId="14C703D5" w14:textId="77777777" w:rsidR="00523C57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Firma del Revisore esterno………………</w:t>
      </w:r>
    </w:p>
    <w:p w14:paraId="31EACA16" w14:textId="77777777" w:rsidR="00523C57" w:rsidRDefault="00523C5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jc w:val="both"/>
        <w:rPr>
          <w:rFonts w:ascii="Aptos" w:eastAsia="Aptos" w:hAnsi="Aptos" w:cs="Aptos"/>
          <w:color w:val="000000"/>
          <w:sz w:val="28"/>
          <w:szCs w:val="28"/>
        </w:rPr>
      </w:pPr>
    </w:p>
    <w:p w14:paraId="17578151" w14:textId="77777777" w:rsidR="00523C57" w:rsidRDefault="00523C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sectPr w:rsidR="00523C57">
      <w:headerReference w:type="default" r:id="rId8"/>
      <w:pgSz w:w="16837" w:h="11905" w:orient="landscape"/>
      <w:pgMar w:top="1134" w:right="1418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7774B8" w14:textId="77777777" w:rsidR="00262EF6" w:rsidRDefault="00262EF6">
      <w:pPr>
        <w:spacing w:line="240" w:lineRule="auto"/>
        <w:ind w:left="0" w:hanging="2"/>
      </w:pPr>
      <w:r>
        <w:separator/>
      </w:r>
    </w:p>
  </w:endnote>
  <w:endnote w:type="continuationSeparator" w:id="0">
    <w:p w14:paraId="30BD4FC1" w14:textId="77777777" w:rsidR="00262EF6" w:rsidRDefault="00262EF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606BC0" w14:textId="77777777" w:rsidR="00262EF6" w:rsidRDefault="00262EF6">
      <w:pPr>
        <w:spacing w:line="240" w:lineRule="auto"/>
        <w:ind w:left="0" w:hanging="2"/>
      </w:pPr>
      <w:r>
        <w:separator/>
      </w:r>
    </w:p>
  </w:footnote>
  <w:footnote w:type="continuationSeparator" w:id="0">
    <w:p w14:paraId="48AB74B4" w14:textId="77777777" w:rsidR="00262EF6" w:rsidRDefault="00262EF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21EEB" w14:textId="77777777" w:rsidR="00523C57" w:rsidRDefault="00000000">
    <w:pPr>
      <w:pBdr>
        <w:top w:val="nil"/>
        <w:left w:val="nil"/>
        <w:bottom w:val="nil"/>
        <w:right w:val="nil"/>
        <w:between w:val="nil"/>
      </w:pBdr>
      <w:spacing w:after="120" w:line="240" w:lineRule="auto"/>
      <w:ind w:left="0" w:hanging="2"/>
      <w:jc w:val="center"/>
      <w:rPr>
        <w:rFonts w:ascii="Aptos" w:eastAsia="Aptos" w:hAnsi="Aptos" w:cs="Aptos"/>
        <w:color w:val="000000"/>
        <w:sz w:val="20"/>
        <w:szCs w:val="20"/>
      </w:rPr>
    </w:pPr>
    <w:r>
      <w:rPr>
        <w:rFonts w:ascii="Aptos" w:eastAsia="Aptos" w:hAnsi="Aptos" w:cs="Aptos"/>
        <w:i/>
        <w:color w:val="000000"/>
        <w:sz w:val="20"/>
        <w:szCs w:val="20"/>
      </w:rPr>
      <w:t>A8d_Modello Allegato alla Relazione del Revisore Esterno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B62E41"/>
    <w:multiLevelType w:val="multilevel"/>
    <w:tmpl w:val="81AE68EA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82466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C57"/>
    <w:rsid w:val="00262EF6"/>
    <w:rsid w:val="00523C57"/>
    <w:rsid w:val="005A2C2B"/>
    <w:rsid w:val="006B2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6FAB2"/>
  <w15:docId w15:val="{1AEDE454-2CB2-40C4-8504-2A40ED261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ar-SA"/>
    </w:rPr>
  </w:style>
  <w:style w:type="paragraph" w:styleId="Titolo1">
    <w:name w:val="heading 1"/>
    <w:basedOn w:val="Normale"/>
    <w:next w:val="Normale"/>
    <w:uiPriority w:val="9"/>
    <w:qFormat/>
    <w:pPr>
      <w:keepNext/>
      <w:numPr>
        <w:numId w:val="1"/>
      </w:numPr>
      <w:spacing w:line="276" w:lineRule="auto"/>
      <w:ind w:left="-1" w:hanging="1"/>
      <w:jc w:val="center"/>
    </w:pPr>
    <w:rPr>
      <w:b/>
      <w:bCs/>
      <w:caps/>
      <w:kern w:val="1"/>
      <w:sz w:val="28"/>
      <w:szCs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numPr>
        <w:ilvl w:val="1"/>
        <w:numId w:val="1"/>
      </w:numPr>
      <w:spacing w:before="240" w:after="60"/>
      <w:ind w:left="-1" w:hanging="1"/>
      <w:outlineLvl w:val="1"/>
    </w:pPr>
    <w:rPr>
      <w:rFonts w:ascii="Arial" w:hAnsi="Arial" w:cs="Arial"/>
      <w:b/>
      <w:bCs/>
      <w:i/>
      <w:iCs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numPr>
        <w:ilvl w:val="2"/>
        <w:numId w:val="1"/>
      </w:numPr>
      <w:spacing w:before="240" w:after="60"/>
      <w:ind w:left="-1" w:hanging="1"/>
      <w:outlineLvl w:val="2"/>
    </w:pPr>
    <w:rPr>
      <w:rFonts w:ascii="Arial" w:hAnsi="Arial" w:cs="Arial"/>
      <w:b/>
      <w:bCs/>
      <w:i/>
      <w:sz w:val="20"/>
      <w:szCs w:val="20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numPr>
        <w:ilvl w:val="3"/>
        <w:numId w:val="1"/>
      </w:numPr>
      <w:spacing w:before="200"/>
      <w:ind w:left="-1" w:hanging="1"/>
      <w:outlineLvl w:val="3"/>
    </w:pPr>
    <w:rPr>
      <w:rFonts w:ascii="Cambria" w:hAnsi="Cambria"/>
      <w:b/>
      <w:bCs/>
      <w:i/>
      <w:iCs/>
      <w:color w:val="4F81BD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character" w:customStyle="1" w:styleId="WW8Num1z0">
    <w:name w:val="WW8Num1z0"/>
    <w:rPr>
      <w:rFonts w:ascii="Symbol" w:hAnsi="Symbol"/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Garamond" w:eastAsia="Times New Roman" w:hAnsi="Garamond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6z3">
    <w:name w:val="WW8Num6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Garamond" w:eastAsia="Times New Roman" w:hAnsi="Garamond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0z3">
    <w:name w:val="WW8Num10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1z3">
    <w:name w:val="WW8Num11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2z2">
    <w:name w:val="WW8Num12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2z3">
    <w:name w:val="WW8Num12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3z2">
    <w:name w:val="WW8Num13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3z3">
    <w:name w:val="WW8Num13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6z3">
    <w:name w:val="WW8Num16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8z0">
    <w:name w:val="WW8Num18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8z1">
    <w:name w:val="WW8Num18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rFonts w:ascii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WW8Num20z0">
    <w:name w:val="WW8Num20z0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0z2">
    <w:name w:val="WW8Num20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0z3">
    <w:name w:val="WW8Num20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1z2">
    <w:name w:val="WW8Num21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1z3">
    <w:name w:val="WW8Num21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rFonts w:ascii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WW8Num24z0">
    <w:name w:val="WW8Num24z0"/>
    <w:rPr>
      <w:rFonts w:ascii="Symbol" w:hAnsi="Symbol"/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Times New Roman" w:hAnsi="Times New Roman"/>
      <w:w w:val="100"/>
      <w:position w:val="-1"/>
      <w:sz w:val="16"/>
      <w:effect w:val="none"/>
      <w:vertAlign w:val="baseline"/>
      <w:cs w:val="0"/>
      <w:em w:val="none"/>
    </w:rPr>
  </w:style>
  <w:style w:type="character" w:customStyle="1" w:styleId="WW8Num26z0">
    <w:name w:val="WW8Num26z0"/>
    <w:rPr>
      <w:rFonts w:ascii="Symbol" w:hAnsi="Symbol"/>
      <w:b w:val="0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6z1">
    <w:name w:val="WW8Num26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6z2">
    <w:name w:val="WW8Num26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6z3">
    <w:name w:val="WW8Num26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7z3">
    <w:name w:val="WW8Num27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9z1">
    <w:name w:val="WW8Num29z1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0z3">
    <w:name w:val="WW8Num30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1z0">
    <w:name w:val="WW8Num31z0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31z1">
    <w:name w:val="WW8Num31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1z2">
    <w:name w:val="WW8Num31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1z3">
    <w:name w:val="WW8Num31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3z0">
    <w:name w:val="WW8Num33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3z1">
    <w:name w:val="WW8Num33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3z3">
    <w:name w:val="WW8Num33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4z0">
    <w:name w:val="WW8Num34z0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4z1">
    <w:name w:val="WW8Num34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4z3">
    <w:name w:val="WW8Num34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5z0">
    <w:name w:val="WW8Num35z0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35z1">
    <w:name w:val="WW8Num35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5z2">
    <w:name w:val="WW8Num35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5z3">
    <w:name w:val="WW8Num35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7z0">
    <w:name w:val="WW8Num37z0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37z1">
    <w:name w:val="WW8Num37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7z2">
    <w:name w:val="WW8Num37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7z3">
    <w:name w:val="WW8Num37z3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9z0">
    <w:name w:val="WW8Num39z0"/>
    <w:rPr>
      <w:rFonts w:ascii="Times New Roman" w:hAnsi="Times New Roman"/>
      <w:w w:val="100"/>
      <w:position w:val="-1"/>
      <w:sz w:val="16"/>
      <w:effect w:val="none"/>
      <w:vertAlign w:val="baseline"/>
      <w:cs w:val="0"/>
      <w:em w:val="none"/>
    </w:rPr>
  </w:style>
  <w:style w:type="character" w:customStyle="1" w:styleId="WW8Num40z0">
    <w:name w:val="WW8Num40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40z1">
    <w:name w:val="WW8Num40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40z2">
    <w:name w:val="WW8Num40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Carpredefinitoparagrafo1">
    <w:name w:val="Car. predefinito paragrafo1"/>
    <w:rPr>
      <w:w w:val="100"/>
      <w:position w:val="-1"/>
      <w:effect w:val="none"/>
      <w:vertAlign w:val="baseline"/>
      <w:cs w:val="0"/>
      <w:em w:val="none"/>
    </w:rPr>
  </w:style>
  <w:style w:type="character" w:customStyle="1" w:styleId="Titolo1Carattere">
    <w:name w:val="Titolo 1 Carattere"/>
    <w:rPr>
      <w:b/>
      <w:bCs/>
      <w:caps/>
      <w:w w:val="100"/>
      <w:kern w:val="1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TitoloCarattere">
    <w:name w:val="Titolo Carattere"/>
    <w:rPr>
      <w:rFonts w:ascii="Cambria" w:eastAsia="Times New Roman" w:hAnsi="Cambria" w:cs="Times New Roman"/>
      <w:b/>
      <w:bCs/>
      <w:w w:val="100"/>
      <w:kern w:val="1"/>
      <w:position w:val="-1"/>
      <w:sz w:val="32"/>
      <w:szCs w:val="32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Titolo2Carattere">
    <w:name w:val="Titolo 2 Carattere"/>
    <w:rPr>
      <w:rFonts w:ascii="Arial" w:hAnsi="Arial" w:cs="Arial"/>
      <w:b/>
      <w:bCs/>
      <w:i/>
      <w:iCs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itolo3Carattere">
    <w:name w:val="Titolo 3 Carattere"/>
    <w:rPr>
      <w:rFonts w:ascii="Arial" w:hAnsi="Arial" w:cs="Arial"/>
      <w:b/>
      <w:bCs/>
      <w:i/>
      <w:w w:val="100"/>
      <w:position w:val="-1"/>
      <w:effect w:val="none"/>
      <w:vertAlign w:val="baseline"/>
      <w:cs w:val="0"/>
      <w:em w:val="none"/>
    </w:rPr>
  </w:style>
  <w:style w:type="character" w:styleId="Enfasicorsivo">
    <w:name w:val="Emphasis"/>
    <w:rPr>
      <w:b/>
      <w:bCs/>
      <w:i w:val="0"/>
      <w:iCs w:val="0"/>
      <w:w w:val="100"/>
      <w:position w:val="-1"/>
      <w:effect w:val="none"/>
      <w:vertAlign w:val="baseline"/>
      <w:cs w:val="0"/>
      <w:em w:val="none"/>
    </w:rPr>
  </w:style>
  <w:style w:type="character" w:customStyle="1" w:styleId="Rimandocommento1">
    <w:name w:val="Rimando commento1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estocommentoCarattere">
    <w:name w:val="Testo commento Carattere"/>
    <w:basedOn w:val="Carpredefinitoparagrafo1"/>
    <w:rPr>
      <w:w w:val="100"/>
      <w:position w:val="-1"/>
      <w:effect w:val="none"/>
      <w:vertAlign w:val="baseline"/>
      <w:cs w:val="0"/>
      <w:em w:val="none"/>
    </w:rPr>
  </w:style>
  <w:style w:type="character" w:styleId="Collegamentoipertestual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estofumettoCarattere">
    <w:name w:val="Testo fumetto Carattere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IntestazioneCarattere">
    <w:name w:val="Intestazione Carattere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PidipaginaCarattere">
    <w:name w:val="Piè di pagina Carattere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itolo4Carattere">
    <w:name w:val="Titolo 4 Carattere"/>
    <w:rPr>
      <w:rFonts w:ascii="Cambria" w:eastAsia="Times New Roman" w:hAnsi="Cambria" w:cs="Times New Roman"/>
      <w:b/>
      <w:bCs/>
      <w:i/>
      <w:iCs/>
      <w:color w:val="4F81BD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SoggettocommentoCarattere">
    <w:name w:val="Soggetto commento Carattere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TestonotaapidipaginaCarattere">
    <w:name w:val="Testo nota a piè di pagina Carattere"/>
    <w:basedOn w:val="Carpredefinitoparagrafo1"/>
    <w:rPr>
      <w:w w:val="100"/>
      <w:position w:val="-1"/>
      <w:effect w:val="none"/>
      <w:vertAlign w:val="baseline"/>
      <w:cs w:val="0"/>
      <w:em w:val="none"/>
    </w:rPr>
  </w:style>
  <w:style w:type="character" w:customStyle="1" w:styleId="Caratteredellanota">
    <w:name w:val="Carattere della nota"/>
    <w:rPr>
      <w:w w:val="100"/>
      <w:position w:val="-1"/>
      <w:effect w:val="none"/>
      <w:vertAlign w:val="superscript"/>
      <w:cs w:val="0"/>
      <w:em w:val="none"/>
    </w:rPr>
  </w:style>
  <w:style w:type="character" w:styleId="Rimandonotaapidipagina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styleId="Rimandonotadichiusura">
    <w:name w:val="endnote reference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Caratterenotadichiusura">
    <w:name w:val="Carattere nota di chiusura"/>
    <w:rPr>
      <w:w w:val="100"/>
      <w:position w:val="-1"/>
      <w:effect w:val="none"/>
      <w:vertAlign w:val="baseline"/>
      <w:cs w:val="0"/>
      <w:em w:val="none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next w:val="Normale"/>
    <w:rPr>
      <w:b/>
      <w:bCs/>
      <w:sz w:val="20"/>
      <w:szCs w:val="20"/>
    </w:rPr>
  </w:style>
  <w:style w:type="paragraph" w:customStyle="1" w:styleId="Indice">
    <w:name w:val="Indice"/>
    <w:basedOn w:val="Normale"/>
    <w:pPr>
      <w:suppressLineNumbers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agrafoelenco">
    <w:name w:val="List Paragraph"/>
    <w:basedOn w:val="Normale"/>
    <w:pPr>
      <w:spacing w:after="200" w:line="276" w:lineRule="auto"/>
      <w:ind w:left="720" w:firstLine="0"/>
    </w:pPr>
    <w:rPr>
      <w:rFonts w:ascii="Calibri" w:eastAsia="Calibri" w:hAnsi="Calibri" w:cs="Calibri"/>
      <w:sz w:val="22"/>
      <w:szCs w:val="22"/>
    </w:rPr>
  </w:style>
  <w:style w:type="paragraph" w:styleId="Titolosommario">
    <w:name w:val="TOC Heading"/>
    <w:basedOn w:val="Titolo1"/>
    <w:next w:val="Normale"/>
    <w:pPr>
      <w:numPr>
        <w:numId w:val="0"/>
      </w:numPr>
      <w:spacing w:before="240" w:after="60" w:line="240" w:lineRule="auto"/>
      <w:ind w:leftChars="-1" w:hangingChars="1"/>
    </w:pPr>
    <w:rPr>
      <w:rFonts w:ascii="Cambria" w:hAnsi="Cambria"/>
      <w:sz w:val="32"/>
      <w:szCs w:val="32"/>
    </w:rPr>
  </w:style>
  <w:style w:type="paragraph" w:customStyle="1" w:styleId="Testocommento1">
    <w:name w:val="Testo commento1"/>
    <w:basedOn w:val="Normale"/>
    <w:rPr>
      <w:sz w:val="20"/>
      <w:szCs w:val="20"/>
    </w:rPr>
  </w:style>
  <w:style w:type="paragraph" w:customStyle="1" w:styleId="Default">
    <w:name w:val="Default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ar-SA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Sommario1">
    <w:name w:val="toc 1"/>
    <w:basedOn w:val="Normale"/>
    <w:next w:val="Normale"/>
    <w:pPr>
      <w:spacing w:after="100"/>
    </w:pPr>
  </w:style>
  <w:style w:type="paragraph" w:styleId="Sommario2">
    <w:name w:val="toc 2"/>
    <w:basedOn w:val="Normale"/>
    <w:next w:val="Normale"/>
    <w:pPr>
      <w:spacing w:after="100"/>
      <w:ind w:left="240" w:firstLine="0"/>
    </w:pPr>
  </w:style>
  <w:style w:type="paragraph" w:styleId="Sommario3">
    <w:name w:val="toc 3"/>
    <w:basedOn w:val="Normale"/>
    <w:next w:val="Normale"/>
    <w:pPr>
      <w:spacing w:after="100" w:line="276" w:lineRule="auto"/>
      <w:ind w:left="440" w:firstLine="0"/>
    </w:pPr>
    <w:rPr>
      <w:sz w:val="20"/>
      <w:szCs w:val="22"/>
    </w:rPr>
  </w:style>
  <w:style w:type="paragraph" w:styleId="Soggettocommento">
    <w:name w:val="annotation subject"/>
    <w:basedOn w:val="Testocommento1"/>
    <w:next w:val="Testocommento1"/>
    <w:rPr>
      <w:b/>
      <w:bCs/>
    </w:rPr>
  </w:style>
  <w:style w:type="paragraph" w:styleId="Revisione">
    <w:name w:val="Revision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ar-SA"/>
    </w:rPr>
  </w:style>
  <w:style w:type="paragraph" w:styleId="Testonotaapidipagina">
    <w:name w:val="footnote text"/>
    <w:basedOn w:val="Normale"/>
    <w:rPr>
      <w:sz w:val="20"/>
      <w:szCs w:val="20"/>
    </w:rPr>
  </w:style>
  <w:style w:type="paragraph" w:styleId="Sommario4">
    <w:name w:val="toc 4"/>
    <w:basedOn w:val="Indice"/>
    <w:pPr>
      <w:tabs>
        <w:tab w:val="right" w:leader="dot" w:pos="9637"/>
      </w:tabs>
      <w:ind w:left="849" w:firstLine="0"/>
    </w:pPr>
  </w:style>
  <w:style w:type="paragraph" w:styleId="Sommario5">
    <w:name w:val="toc 5"/>
    <w:basedOn w:val="Indice"/>
    <w:pPr>
      <w:tabs>
        <w:tab w:val="right" w:leader="dot" w:pos="9637"/>
      </w:tabs>
      <w:ind w:left="1132" w:firstLine="0"/>
    </w:pPr>
  </w:style>
  <w:style w:type="paragraph" w:styleId="Sommario6">
    <w:name w:val="toc 6"/>
    <w:basedOn w:val="Indice"/>
    <w:pPr>
      <w:tabs>
        <w:tab w:val="right" w:leader="dot" w:pos="9637"/>
      </w:tabs>
      <w:ind w:left="1415" w:firstLine="0"/>
    </w:pPr>
  </w:style>
  <w:style w:type="paragraph" w:styleId="Sommario7">
    <w:name w:val="toc 7"/>
    <w:basedOn w:val="Indice"/>
    <w:pPr>
      <w:tabs>
        <w:tab w:val="right" w:leader="dot" w:pos="9637"/>
      </w:tabs>
      <w:ind w:left="1698" w:firstLine="0"/>
    </w:pPr>
  </w:style>
  <w:style w:type="paragraph" w:styleId="Sommario8">
    <w:name w:val="toc 8"/>
    <w:basedOn w:val="Indice"/>
    <w:pPr>
      <w:tabs>
        <w:tab w:val="right" w:leader="dot" w:pos="9637"/>
      </w:tabs>
      <w:ind w:left="1981" w:firstLine="0"/>
    </w:pPr>
  </w:style>
  <w:style w:type="paragraph" w:styleId="Sommario9">
    <w:name w:val="toc 9"/>
    <w:basedOn w:val="Indice"/>
    <w:pPr>
      <w:tabs>
        <w:tab w:val="right" w:leader="dot" w:pos="9637"/>
      </w:tabs>
      <w:ind w:left="2264" w:firstLine="0"/>
    </w:pPr>
  </w:style>
  <w:style w:type="paragraph" w:customStyle="1" w:styleId="Indice10">
    <w:name w:val="Indice 10"/>
    <w:basedOn w:val="Indice"/>
    <w:pPr>
      <w:tabs>
        <w:tab w:val="right" w:leader="dot" w:pos="9637"/>
      </w:tabs>
      <w:ind w:left="2547" w:firstLine="0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character" w:styleId="Rimandocommento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stocommento">
    <w:name w:val="annotation text"/>
    <w:basedOn w:val="Normale"/>
    <w:qFormat/>
    <w:rPr>
      <w:sz w:val="20"/>
      <w:szCs w:val="20"/>
    </w:rPr>
  </w:style>
  <w:style w:type="character" w:customStyle="1" w:styleId="TestocommentoCarattere1">
    <w:name w:val="Testo commento Carattere1"/>
    <w:rPr>
      <w:w w:val="100"/>
      <w:position w:val="-1"/>
      <w:effect w:val="none"/>
      <w:vertAlign w:val="baseline"/>
      <w:cs w:val="0"/>
      <w:em w:val="none"/>
      <w:lang w:eastAsia="ar-SA"/>
    </w:rPr>
  </w:style>
  <w:style w:type="character" w:styleId="Numeropagina">
    <w:name w:val="page number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olo2Garamond14ptNonCorsivoGrassettoGrassetto">
    <w:name w:val="Titolo 2 + Garamond;14 pt;Non Corsivo + Grassetto + Grassetto"/>
    <w:basedOn w:val="Titolo2"/>
    <w:rPr>
      <w:rFonts w:ascii="Garamond" w:hAnsi="Garamond"/>
      <w:b w:val="0"/>
      <w:i w:val="0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L0n+AJ7zVugiJCtKwPj/fmAuiA==">CgMxLjA4AHIhMVFuZFI2OFJVa01QaEVfeVo4Q1dORG4ybVhCbGNab1lQ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90FBEFF6C97E4AB488181F479EDE51" ma:contentTypeVersion="15" ma:contentTypeDescription="Crear nuevo documento." ma:contentTypeScope="" ma:versionID="9a7ba012c29a22b831bec886f21d5569">
  <xsd:schema xmlns:xsd="http://www.w3.org/2001/XMLSchema" xmlns:xs="http://www.w3.org/2001/XMLSchema" xmlns:p="http://schemas.microsoft.com/office/2006/metadata/properties" xmlns:ns2="4b93ed0b-0cc9-444a-a41e-f9b8affb7ba3" xmlns:ns3="0a1f53e3-c457-4569-8092-ea674bf40a5d" targetNamespace="http://schemas.microsoft.com/office/2006/metadata/properties" ma:root="true" ma:fieldsID="6fab55b99bea4d6d8674cb9ea9206c21" ns2:_="" ns3:_="">
    <xsd:import namespace="4b93ed0b-0cc9-444a-a41e-f9b8affb7ba3"/>
    <xsd:import namespace="0a1f53e3-c457-4569-8092-ea674bf40a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93ed0b-0cc9-444a-a41e-f9b8affb7b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787bb18-b30a-4b8d-a39d-8d61384e5a04}" ma:internalName="TaxCatchAll" ma:showField="CatchAllData" ma:web="4b93ed0b-0cc9-444a-a41e-f9b8affb7b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1f53e3-c457-4569-8092-ea674bf40a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08EC69B-2C2B-43E2-9E61-5D2E5F41C64B}"/>
</file>

<file path=customXml/itemProps3.xml><?xml version="1.0" encoding="utf-8"?>
<ds:datastoreItem xmlns:ds="http://schemas.openxmlformats.org/officeDocument/2006/customXml" ds:itemID="{6EE31DB6-0CAD-4FDC-8049-39AE536D59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1604</Words>
  <Characters>9149</Characters>
  <Application>Microsoft Office Word</Application>
  <DocSecurity>0</DocSecurity>
  <Lines>76</Lines>
  <Paragraphs>21</Paragraphs>
  <ScaleCrop>false</ScaleCrop>
  <Company/>
  <LinksUpToDate>false</LinksUpToDate>
  <CharactersWithSpaces>10732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 Martina</dc:creator>
  <cp:lastModifiedBy>Federica Sorani</cp:lastModifiedBy>
  <cp:revision>2</cp:revision>
  <dcterms:created xsi:type="dcterms:W3CDTF">2024-06-10T08:21:00Z</dcterms:created>
  <dcterms:modified xsi:type="dcterms:W3CDTF">2024-06-13T13:36:00Z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>lcf76f155ced4ddcb4097134ff3c332f</vt:lpwstr>
  </property>
  <property fmtid="{D5CDD505-2E9C-101B-9397-08002B2CF9AE}" pid="3" name="Dataeora">
    <vt:lpwstr>Dataeora</vt:lpwstr>
  </property>
  <property fmtid="{D5CDD505-2E9C-101B-9397-08002B2CF9AE}" pid="4" name="TaxCatchAll">
    <vt:lpwstr>TaxCatchAll</vt:lpwstr>
  </property>
</Properties>
</file>